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2D" w:rsidRDefault="000E6D96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  <w:r>
        <w:rPr>
          <w:noProof/>
          <w:lang w:eastAsia="fr-FR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241935</wp:posOffset>
            </wp:positionV>
            <wp:extent cx="1088390" cy="1439545"/>
            <wp:effectExtent l="0" t="0" r="0" b="8255"/>
            <wp:wrapThrough wrapText="bothSides">
              <wp:wrapPolygon edited="0">
                <wp:start x="0" y="0"/>
                <wp:lineTo x="0" y="21438"/>
                <wp:lineTo x="21172" y="21438"/>
                <wp:lineTo x="21172" y="0"/>
                <wp:lineTo x="0" y="0"/>
              </wp:wrapPolygon>
            </wp:wrapThrough>
            <wp:docPr id="1" name="Image 1" descr="Logo CNAT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NATP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1742">
        <w:rPr>
          <w:rFonts w:ascii="Bodoni" w:eastAsia="Bodoni" w:hAnsi="Bodoni" w:cs="Bodoni"/>
          <w:b/>
          <w:bCs/>
          <w:spacing w:val="60"/>
          <w:sz w:val="32"/>
          <w:szCs w:val="32"/>
        </w:rPr>
        <w:t xml:space="preserve"> </w:t>
      </w:r>
    </w:p>
    <w:p w:rsidR="0036362D" w:rsidRDefault="0036362D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</w:p>
    <w:p w:rsidR="0036362D" w:rsidRDefault="0036362D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</w:p>
    <w:p w:rsidR="0036362D" w:rsidRDefault="0036362D">
      <w:pPr>
        <w:tabs>
          <w:tab w:val="left" w:pos="1701"/>
        </w:tabs>
        <w:rPr>
          <w:rFonts w:ascii="Bodoni" w:eastAsia="Bodoni" w:hAnsi="Bodoni" w:cs="Bodoni"/>
          <w:b/>
          <w:bCs/>
          <w:spacing w:val="60"/>
          <w:sz w:val="32"/>
          <w:szCs w:val="32"/>
        </w:rPr>
      </w:pPr>
    </w:p>
    <w:p w:rsidR="0036362D" w:rsidRDefault="0036362D">
      <w:pPr>
        <w:spacing w:before="120" w:line="276" w:lineRule="auto"/>
        <w:ind w:left="2268"/>
        <w:rPr>
          <w:rFonts w:ascii="Bodoni" w:eastAsia="Bodoni" w:hAnsi="Bodoni" w:cs="Bodoni"/>
        </w:rPr>
      </w:pPr>
    </w:p>
    <w:p w:rsidR="00200AB1" w:rsidRDefault="00200A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doni" w:eastAsia="Bodoni" w:hAnsi="Bodoni" w:cs="Bodoni"/>
        </w:rPr>
      </w:pPr>
    </w:p>
    <w:p w:rsidR="0036362D" w:rsidRPr="000F4223" w:rsidRDefault="00AA641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</w:rPr>
      </w:pPr>
      <w:r w:rsidRPr="000F4223">
        <w:rPr>
          <w:rFonts w:eastAsia="Bodoni" w:hAnsi="Times New Roman" w:cs="Times New Roman"/>
          <w:b/>
          <w:bCs/>
        </w:rPr>
        <w:t xml:space="preserve">Communiqué de presse du </w:t>
      </w:r>
      <w:r w:rsidR="00E238E1">
        <w:rPr>
          <w:rFonts w:eastAsia="Bodoni" w:hAnsi="Times New Roman" w:cs="Times New Roman"/>
          <w:b/>
          <w:bCs/>
        </w:rPr>
        <w:t>6</w:t>
      </w:r>
      <w:r w:rsidR="00E11071">
        <w:rPr>
          <w:rFonts w:eastAsia="Bodoni" w:hAnsi="Times New Roman" w:cs="Times New Roman"/>
          <w:b/>
          <w:bCs/>
        </w:rPr>
        <w:t xml:space="preserve"> décembre</w:t>
      </w:r>
      <w:r w:rsidR="00960790">
        <w:rPr>
          <w:rFonts w:eastAsia="Bodoni" w:hAnsi="Times New Roman" w:cs="Times New Roman"/>
          <w:b/>
          <w:bCs/>
        </w:rPr>
        <w:t xml:space="preserve"> </w:t>
      </w:r>
      <w:r w:rsidR="000E6D96" w:rsidRPr="000F4223">
        <w:rPr>
          <w:rFonts w:eastAsia="Bodoni" w:hAnsi="Times New Roman" w:cs="Times New Roman"/>
          <w:b/>
          <w:bCs/>
        </w:rPr>
        <w:t>2018</w:t>
      </w:r>
    </w:p>
    <w:p w:rsidR="0036362D" w:rsidRPr="000F4223" w:rsidRDefault="009607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sz w:val="22"/>
          <w:szCs w:val="22"/>
        </w:rPr>
      </w:pPr>
      <w:r>
        <w:rPr>
          <w:rFonts w:eastAsia="Bodoni" w:hAnsi="Times New Roman" w:cs="Times New Roman"/>
          <w:sz w:val="22"/>
          <w:szCs w:val="22"/>
        </w:rPr>
        <w:t xml:space="preserve">#TICPE </w:t>
      </w:r>
      <w:r w:rsidR="003E2C32">
        <w:rPr>
          <w:rFonts w:eastAsia="Bodoni" w:hAnsi="Times New Roman" w:cs="Times New Roman"/>
          <w:sz w:val="22"/>
          <w:szCs w:val="22"/>
        </w:rPr>
        <w:t xml:space="preserve">#GNR </w:t>
      </w:r>
      <w:r w:rsidR="0036362D" w:rsidRPr="000F4223">
        <w:rPr>
          <w:rFonts w:eastAsia="Bodoni" w:hAnsi="Times New Roman" w:cs="Times New Roman"/>
          <w:sz w:val="22"/>
          <w:szCs w:val="22"/>
        </w:rPr>
        <w:t>#Arti</w:t>
      </w:r>
      <w:r>
        <w:rPr>
          <w:rFonts w:eastAsia="Bodoni" w:hAnsi="Times New Roman" w:cs="Times New Roman"/>
          <w:sz w:val="22"/>
          <w:szCs w:val="22"/>
        </w:rPr>
        <w:t xml:space="preserve">sanat #TravauxPublics </w:t>
      </w:r>
      <w:r w:rsidR="0036362D" w:rsidRPr="000F4223">
        <w:rPr>
          <w:rFonts w:eastAsia="Bodoni" w:hAnsi="Times New Roman" w:cs="Times New Roman"/>
          <w:sz w:val="22"/>
          <w:szCs w:val="22"/>
        </w:rPr>
        <w:t>#BTP</w:t>
      </w:r>
      <w:r w:rsidR="007F6D38">
        <w:rPr>
          <w:rFonts w:eastAsia="Bodoni" w:hAnsi="Times New Roman" w:cs="Times New Roman"/>
          <w:sz w:val="22"/>
          <w:szCs w:val="22"/>
        </w:rPr>
        <w:t xml:space="preserve"> #Paysage</w:t>
      </w:r>
    </w:p>
    <w:p w:rsidR="004530BC" w:rsidRDefault="004530BC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b/>
          <w:bCs/>
        </w:rPr>
      </w:pPr>
    </w:p>
    <w:p w:rsidR="00642C17" w:rsidRPr="00AF0CAB" w:rsidRDefault="00642C1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b/>
          <w:bCs/>
        </w:rPr>
      </w:pPr>
    </w:p>
    <w:p w:rsidR="000378FD" w:rsidRPr="00AF0CAB" w:rsidRDefault="00A0249D" w:rsidP="00197F82">
      <w:pPr>
        <w:pStyle w:val="Titre2"/>
        <w:widowControl w:val="0"/>
        <w:spacing w:before="0" w:beforeAutospacing="0" w:after="0" w:afterAutospacing="0"/>
        <w:jc w:val="center"/>
        <w:rPr>
          <w:sz w:val="32"/>
          <w:szCs w:val="32"/>
        </w:rPr>
      </w:pPr>
      <w:r w:rsidRPr="00AF0CAB">
        <w:rPr>
          <w:sz w:val="32"/>
          <w:szCs w:val="32"/>
        </w:rPr>
        <w:t>GNR</w:t>
      </w:r>
      <w:r w:rsidR="00E11071">
        <w:rPr>
          <w:sz w:val="32"/>
          <w:szCs w:val="32"/>
        </w:rPr>
        <w:t xml:space="preserve"> : </w:t>
      </w:r>
      <w:r w:rsidR="00197F82">
        <w:rPr>
          <w:sz w:val="32"/>
          <w:szCs w:val="32"/>
        </w:rPr>
        <w:t>l</w:t>
      </w:r>
      <w:r w:rsidR="00FB4902">
        <w:rPr>
          <w:sz w:val="32"/>
          <w:szCs w:val="32"/>
        </w:rPr>
        <w:t>a CNATP reçue et entendue par Matignon</w:t>
      </w:r>
    </w:p>
    <w:p w:rsidR="001222F5" w:rsidRDefault="001222F5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B4902" w:rsidRDefault="00FB4902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FB4902" w:rsidRDefault="007C0D7E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Jeudi 6</w:t>
      </w:r>
      <w:bookmarkStart w:id="0" w:name="_GoBack"/>
      <w:bookmarkEnd w:id="0"/>
      <w:r w:rsidR="00FB4902">
        <w:rPr>
          <w:sz w:val="22"/>
          <w:szCs w:val="22"/>
        </w:rPr>
        <w:t xml:space="preserve"> décembre, </w:t>
      </w:r>
      <w:r w:rsidR="00BF74CA">
        <w:rPr>
          <w:sz w:val="22"/>
          <w:szCs w:val="22"/>
        </w:rPr>
        <w:t>la CNATP a été reçue à Matignon par une équipe constituée de deux</w:t>
      </w:r>
      <w:r w:rsidR="003470CF">
        <w:rPr>
          <w:sz w:val="22"/>
          <w:szCs w:val="22"/>
        </w:rPr>
        <w:t xml:space="preserve"> conseillers </w:t>
      </w:r>
      <w:r w:rsidR="006B2882">
        <w:rPr>
          <w:sz w:val="22"/>
          <w:szCs w:val="22"/>
        </w:rPr>
        <w:t xml:space="preserve">du </w:t>
      </w:r>
      <w:r w:rsidR="00BF74CA">
        <w:rPr>
          <w:sz w:val="22"/>
          <w:szCs w:val="22"/>
        </w:rPr>
        <w:t>Président et du P</w:t>
      </w:r>
      <w:r w:rsidR="006B2882">
        <w:rPr>
          <w:sz w:val="22"/>
          <w:szCs w:val="22"/>
        </w:rPr>
        <w:t>remier Ministre</w:t>
      </w:r>
      <w:r w:rsidR="00BF74CA">
        <w:rPr>
          <w:sz w:val="22"/>
          <w:szCs w:val="22"/>
        </w:rPr>
        <w:t>,</w:t>
      </w:r>
      <w:r w:rsidR="006B2882">
        <w:rPr>
          <w:sz w:val="22"/>
          <w:szCs w:val="22"/>
        </w:rPr>
        <w:t xml:space="preserve"> </w:t>
      </w:r>
      <w:r w:rsidR="00317FCF">
        <w:rPr>
          <w:sz w:val="22"/>
          <w:szCs w:val="22"/>
        </w:rPr>
        <w:t>MM. Thibaud Normand, C</w:t>
      </w:r>
      <w:r w:rsidR="00342B00">
        <w:rPr>
          <w:sz w:val="22"/>
          <w:szCs w:val="22"/>
        </w:rPr>
        <w:t>onseiller technique énergie</w:t>
      </w:r>
      <w:r w:rsidR="00683846">
        <w:rPr>
          <w:sz w:val="22"/>
          <w:szCs w:val="22"/>
        </w:rPr>
        <w:t xml:space="preserve"> </w:t>
      </w:r>
      <w:r w:rsidR="00342B00">
        <w:rPr>
          <w:sz w:val="22"/>
          <w:szCs w:val="22"/>
        </w:rPr>
        <w:t>et Laurent Martel</w:t>
      </w:r>
      <w:r w:rsidR="003470CF">
        <w:rPr>
          <w:sz w:val="22"/>
          <w:szCs w:val="22"/>
        </w:rPr>
        <w:t>,</w:t>
      </w:r>
      <w:r w:rsidR="00683846" w:rsidRPr="00683846">
        <w:rPr>
          <w:sz w:val="22"/>
          <w:szCs w:val="22"/>
        </w:rPr>
        <w:t xml:space="preserve"> </w:t>
      </w:r>
      <w:r w:rsidR="00317FCF">
        <w:rPr>
          <w:sz w:val="22"/>
          <w:szCs w:val="22"/>
        </w:rPr>
        <w:t>C</w:t>
      </w:r>
      <w:r w:rsidR="00683846">
        <w:rPr>
          <w:sz w:val="22"/>
          <w:szCs w:val="22"/>
        </w:rPr>
        <w:t>onseiller technique fiscali</w:t>
      </w:r>
      <w:r w:rsidR="00BF74CA">
        <w:rPr>
          <w:sz w:val="22"/>
          <w:szCs w:val="22"/>
        </w:rPr>
        <w:t>té et prélèvements obligatoires</w:t>
      </w:r>
      <w:r w:rsidR="00360C9F">
        <w:rPr>
          <w:sz w:val="22"/>
          <w:szCs w:val="22"/>
        </w:rPr>
        <w:t xml:space="preserve">, </w:t>
      </w:r>
      <w:r w:rsidR="003470CF">
        <w:rPr>
          <w:sz w:val="22"/>
          <w:szCs w:val="22"/>
        </w:rPr>
        <w:t>ainsi qu</w:t>
      </w:r>
      <w:r w:rsidR="00BF74CA">
        <w:rPr>
          <w:sz w:val="22"/>
          <w:szCs w:val="22"/>
        </w:rPr>
        <w:t xml:space="preserve">e par </w:t>
      </w:r>
      <w:r w:rsidR="003470CF">
        <w:rPr>
          <w:sz w:val="22"/>
          <w:szCs w:val="22"/>
        </w:rPr>
        <w:t xml:space="preserve">une délégation de parlementaires </w:t>
      </w:r>
      <w:r w:rsidR="00414238">
        <w:rPr>
          <w:sz w:val="22"/>
          <w:szCs w:val="22"/>
        </w:rPr>
        <w:t>composée de Mesdames</w:t>
      </w:r>
      <w:r w:rsidR="004E6F7F">
        <w:rPr>
          <w:sz w:val="22"/>
          <w:szCs w:val="22"/>
        </w:rPr>
        <w:t xml:space="preserve"> </w:t>
      </w:r>
      <w:r w:rsidR="0054166D">
        <w:rPr>
          <w:sz w:val="22"/>
          <w:szCs w:val="22"/>
        </w:rPr>
        <w:t>Nicole Dubré-Chirat et Stella Dupont</w:t>
      </w:r>
      <w:r w:rsidR="004E6F7F">
        <w:rPr>
          <w:sz w:val="22"/>
          <w:szCs w:val="22"/>
        </w:rPr>
        <w:t xml:space="preserve"> et</w:t>
      </w:r>
      <w:r w:rsidR="0054166D">
        <w:rPr>
          <w:sz w:val="22"/>
          <w:szCs w:val="22"/>
        </w:rPr>
        <w:t xml:space="preserve"> de MM. Matthieu Orphelin et Philippe Bolo</w:t>
      </w:r>
      <w:r w:rsidR="00BB565A">
        <w:rPr>
          <w:sz w:val="22"/>
          <w:szCs w:val="22"/>
        </w:rPr>
        <w:t>, qui avaient transmis nos revendications au Premier Ministre</w:t>
      </w:r>
      <w:r w:rsidR="004E6F7F">
        <w:rPr>
          <w:sz w:val="22"/>
          <w:szCs w:val="22"/>
        </w:rPr>
        <w:t xml:space="preserve">. Ceux-ci </w:t>
      </w:r>
      <w:r w:rsidR="003470CF">
        <w:rPr>
          <w:sz w:val="22"/>
          <w:szCs w:val="22"/>
        </w:rPr>
        <w:t>ont répondu à l’appel de la forte mobilisation des artisans des travau</w:t>
      </w:r>
      <w:r w:rsidR="000733D6">
        <w:rPr>
          <w:sz w:val="22"/>
          <w:szCs w:val="22"/>
        </w:rPr>
        <w:t>x publics et du paysage depuis plus de trois</w:t>
      </w:r>
      <w:r w:rsidR="003470CF">
        <w:rPr>
          <w:sz w:val="22"/>
          <w:szCs w:val="22"/>
        </w:rPr>
        <w:t xml:space="preserve"> semaines.</w:t>
      </w:r>
    </w:p>
    <w:p w:rsidR="003470CF" w:rsidRDefault="003470CF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3470CF" w:rsidRPr="00CF52BD" w:rsidRDefault="00D068CF" w:rsidP="00AF0CAB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La CNATP a eu </w:t>
      </w:r>
      <w:r w:rsidRPr="00CF52BD">
        <w:rPr>
          <w:b/>
          <w:sz w:val="22"/>
          <w:szCs w:val="22"/>
        </w:rPr>
        <w:t>confirmation de la suppression de la hausse de la fiscalité sur le gazole non routier (GNR) pour toute l’année 2019.</w:t>
      </w:r>
    </w:p>
    <w:p w:rsidR="00D068CF" w:rsidRDefault="00D068CF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F52BD" w:rsidRDefault="00FB5B0B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Cette r</w:t>
      </w:r>
      <w:r w:rsidR="006D798C">
        <w:rPr>
          <w:sz w:val="22"/>
          <w:szCs w:val="22"/>
        </w:rPr>
        <w:t>encontre a été rendue possible</w:t>
      </w:r>
      <w:r>
        <w:rPr>
          <w:sz w:val="22"/>
          <w:szCs w:val="22"/>
        </w:rPr>
        <w:t xml:space="preserve"> g</w:t>
      </w:r>
      <w:r w:rsidR="00D068CF">
        <w:rPr>
          <w:sz w:val="22"/>
          <w:szCs w:val="22"/>
        </w:rPr>
        <w:t>râce aux échanges noués avec les parlementaires lors de nos actions</w:t>
      </w:r>
      <w:r w:rsidR="004E6F7F">
        <w:rPr>
          <w:sz w:val="22"/>
          <w:szCs w:val="22"/>
        </w:rPr>
        <w:t xml:space="preserve"> sur le terrain.</w:t>
      </w:r>
      <w:r w:rsidR="00CB435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Lors de </w:t>
      </w:r>
      <w:r w:rsidR="00210BC5">
        <w:rPr>
          <w:sz w:val="22"/>
          <w:szCs w:val="22"/>
        </w:rPr>
        <w:t>ce rendez-vous, nous avons fait part de la position de la CNATP pour les rencontres à venir concernant la </w:t>
      </w:r>
      <w:r w:rsidR="00CF52BD">
        <w:rPr>
          <w:sz w:val="22"/>
          <w:szCs w:val="22"/>
        </w:rPr>
        <w:t xml:space="preserve">concertation sur la transition écologique </w:t>
      </w:r>
      <w:r w:rsidR="00210BC5">
        <w:rPr>
          <w:sz w:val="22"/>
          <w:szCs w:val="22"/>
        </w:rPr>
        <w:t xml:space="preserve">où la CNATP aura une position centrale. </w:t>
      </w:r>
    </w:p>
    <w:p w:rsidR="00CF52BD" w:rsidRDefault="00CF52BD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483BC3" w:rsidRDefault="00483BC3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avons développé en particulier </w:t>
      </w:r>
      <w:r w:rsidR="004E6F7F">
        <w:rPr>
          <w:b/>
          <w:sz w:val="22"/>
          <w:szCs w:val="22"/>
        </w:rPr>
        <w:t>quatre</w:t>
      </w:r>
      <w:r w:rsidRPr="0075544A">
        <w:rPr>
          <w:b/>
          <w:sz w:val="22"/>
          <w:szCs w:val="22"/>
        </w:rPr>
        <w:t xml:space="preserve"> revendications</w:t>
      </w:r>
      <w:r>
        <w:rPr>
          <w:sz w:val="22"/>
          <w:szCs w:val="22"/>
        </w:rPr>
        <w:t> :</w:t>
      </w:r>
    </w:p>
    <w:p w:rsidR="00483BC3" w:rsidRDefault="00483BC3" w:rsidP="00483BC3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75544A">
        <w:rPr>
          <w:b/>
          <w:sz w:val="22"/>
          <w:szCs w:val="22"/>
        </w:rPr>
        <w:t>Le maintien du GNR </w:t>
      </w:r>
      <w:r w:rsidRPr="00460135">
        <w:rPr>
          <w:sz w:val="22"/>
          <w:szCs w:val="22"/>
        </w:rPr>
        <w:t>: la distinction du carburant pour les engins de chantier est indispensable</w:t>
      </w:r>
      <w:r>
        <w:rPr>
          <w:sz w:val="22"/>
          <w:szCs w:val="22"/>
        </w:rPr>
        <w:t xml:space="preserve"> pour éviter les vols de carburants,</w:t>
      </w:r>
    </w:p>
    <w:p w:rsidR="003C6A3A" w:rsidRDefault="003C6A3A" w:rsidP="00483BC3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75544A">
        <w:rPr>
          <w:b/>
          <w:sz w:val="22"/>
          <w:szCs w:val="22"/>
        </w:rPr>
        <w:t>La progressivité</w:t>
      </w:r>
      <w:r>
        <w:rPr>
          <w:sz w:val="22"/>
          <w:szCs w:val="22"/>
        </w:rPr>
        <w:t> : toute mesure envisagée à l’avenir doit être lissée sur plusieurs années pour laisser le temps aux entreprises d’anticiper et de s’adapter,</w:t>
      </w:r>
    </w:p>
    <w:p w:rsidR="003C6A3A" w:rsidRDefault="003C6A3A" w:rsidP="003C6A3A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75544A">
        <w:rPr>
          <w:b/>
          <w:sz w:val="22"/>
          <w:szCs w:val="22"/>
        </w:rPr>
        <w:t>L’</w:t>
      </w:r>
      <w:r w:rsidR="004E6F7F">
        <w:rPr>
          <w:b/>
          <w:sz w:val="22"/>
          <w:szCs w:val="22"/>
        </w:rPr>
        <w:t>é</w:t>
      </w:r>
      <w:r w:rsidRPr="0075544A">
        <w:rPr>
          <w:b/>
          <w:sz w:val="22"/>
          <w:szCs w:val="22"/>
        </w:rPr>
        <w:t>galité </w:t>
      </w:r>
      <w:r w:rsidR="00206101" w:rsidRPr="0075544A">
        <w:rPr>
          <w:b/>
          <w:sz w:val="22"/>
          <w:szCs w:val="22"/>
        </w:rPr>
        <w:t>de traitement</w:t>
      </w:r>
      <w:r w:rsidR="00206101">
        <w:rPr>
          <w:sz w:val="22"/>
          <w:szCs w:val="22"/>
        </w:rPr>
        <w:t xml:space="preserve"> </w:t>
      </w:r>
      <w:r>
        <w:rPr>
          <w:sz w:val="22"/>
          <w:szCs w:val="22"/>
        </w:rPr>
        <w:t>: les entreprises de différents secteurs intervenant sur les mêmes chantiers doivent respecter les mêmes règles et les mêmes contraintes</w:t>
      </w:r>
      <w:r w:rsidRPr="003C6A3A">
        <w:rPr>
          <w:sz w:val="22"/>
          <w:szCs w:val="22"/>
        </w:rPr>
        <w:t>,</w:t>
      </w:r>
    </w:p>
    <w:p w:rsidR="003C6A3A" w:rsidRDefault="00573035" w:rsidP="003C6A3A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 w:rsidRPr="0075544A">
        <w:rPr>
          <w:b/>
          <w:sz w:val="22"/>
          <w:szCs w:val="22"/>
        </w:rPr>
        <w:t>La simplicité</w:t>
      </w:r>
      <w:r>
        <w:rPr>
          <w:sz w:val="22"/>
          <w:szCs w:val="22"/>
        </w:rPr>
        <w:t> : les mesures fiscales doivent tenir compte</w:t>
      </w:r>
      <w:r w:rsidR="004E6F7F">
        <w:rPr>
          <w:sz w:val="22"/>
          <w:szCs w:val="22"/>
        </w:rPr>
        <w:t xml:space="preserve"> des spécificités des entreprises artisanales</w:t>
      </w:r>
      <w:r w:rsidR="00CF52BD">
        <w:rPr>
          <w:sz w:val="22"/>
          <w:szCs w:val="22"/>
        </w:rPr>
        <w:t>.</w:t>
      </w:r>
    </w:p>
    <w:p w:rsidR="00573035" w:rsidRDefault="00573035" w:rsidP="00B32B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B32B8C" w:rsidRDefault="00B32B8C" w:rsidP="00B32B8C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Cette rencontre a été également l’occasion de porter d’autres revendications de la CNATP :</w:t>
      </w:r>
    </w:p>
    <w:p w:rsidR="00B32B8C" w:rsidRDefault="00EA25D5" w:rsidP="00B32B8C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Dans le cadre de la transition écologique, obtenir un véritable</w:t>
      </w:r>
      <w:r w:rsidR="00B32B8C">
        <w:rPr>
          <w:sz w:val="22"/>
          <w:szCs w:val="22"/>
        </w:rPr>
        <w:t xml:space="preserve"> soutien aux investissements dans les matériels et engins de nouvelles technologies,</w:t>
      </w:r>
    </w:p>
    <w:p w:rsidR="00B32B8C" w:rsidRDefault="004F4F5A" w:rsidP="00B32B8C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Renforcer les aides aux réhabilitations des assainissements non-co</w:t>
      </w:r>
      <w:r w:rsidR="00EA25D5">
        <w:rPr>
          <w:sz w:val="22"/>
          <w:szCs w:val="22"/>
        </w:rPr>
        <w:t xml:space="preserve">llectifs, élément essentiel de l’écologie de </w:t>
      </w:r>
      <w:r w:rsidR="0075544A">
        <w:rPr>
          <w:sz w:val="22"/>
          <w:szCs w:val="22"/>
        </w:rPr>
        <w:t>proximité.</w:t>
      </w:r>
    </w:p>
    <w:p w:rsidR="003470CF" w:rsidRDefault="003470CF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170D95" w:rsidRDefault="00170D95" w:rsidP="00EF5D1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3093720" cy="2320290"/>
            <wp:effectExtent l="0" t="0" r="0" b="3810"/>
            <wp:docPr id="3" name="Image 3" descr="C:\Users\p.boutaud\AppData\Local\Microsoft\Windows\Temporary Internet Files\Content.Outlook\J0L0N52H\IMG_2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boutaud\AppData\Local\Microsoft\Windows\Temporary Internet Files\Content.Outlook\J0L0N52H\IMG_21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72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91180" cy="2318385"/>
            <wp:effectExtent l="0" t="0" r="0" b="5715"/>
            <wp:docPr id="4" name="Image 4" descr="C:\Users\p.boutaud\AppData\Local\Microsoft\Windows\Temporary Internet Files\Content.Word\IMG_2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.boutaud\AppData\Local\Microsoft\Windows\Temporary Internet Files\Content.Word\IMG_218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31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D95" w:rsidRDefault="00170D95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9733B" w:rsidRDefault="0059733B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Ainsi, la CNATP est la première organisation professionnelle reçue après les annonces du Gouvernement sur la fin de la hausse de la TICPE sur le GNR.</w:t>
      </w:r>
      <w:r w:rsidR="00560364">
        <w:rPr>
          <w:sz w:val="22"/>
          <w:szCs w:val="22"/>
        </w:rPr>
        <w:t xml:space="preserve"> Nous avons eu </w:t>
      </w:r>
      <w:r w:rsidR="00560364" w:rsidRPr="000733D6">
        <w:rPr>
          <w:b/>
          <w:sz w:val="22"/>
          <w:szCs w:val="22"/>
        </w:rPr>
        <w:t>la garantie que nous serions conviés aux travaux de la concertation sur la transition écologique pour notre secteur.</w:t>
      </w:r>
    </w:p>
    <w:p w:rsidR="0059733B" w:rsidRDefault="0059733B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6B2882" w:rsidRDefault="006B2882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avons bénéficié d’une écoute attentive et l’équipe nous a indiqué que nos demandes seraient prises en compte. </w:t>
      </w:r>
    </w:p>
    <w:p w:rsidR="00D801AE" w:rsidRDefault="00D801AE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DA555B" w:rsidRDefault="000733D6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C’est une</w:t>
      </w:r>
      <w:r w:rsidR="005870C2">
        <w:rPr>
          <w:sz w:val="22"/>
          <w:szCs w:val="22"/>
        </w:rPr>
        <w:t xml:space="preserve"> </w:t>
      </w:r>
      <w:r w:rsidR="005411AA">
        <w:rPr>
          <w:sz w:val="22"/>
          <w:szCs w:val="22"/>
        </w:rPr>
        <w:t>victoire</w:t>
      </w:r>
      <w:r w:rsidR="00CB4354">
        <w:rPr>
          <w:sz w:val="22"/>
          <w:szCs w:val="22"/>
        </w:rPr>
        <w:t xml:space="preserve"> pour la CNATP, qui représente </w:t>
      </w:r>
      <w:r w:rsidR="005411AA">
        <w:rPr>
          <w:sz w:val="22"/>
          <w:szCs w:val="22"/>
        </w:rPr>
        <w:t>les petites entreprises de</w:t>
      </w:r>
      <w:r w:rsidR="005870C2">
        <w:rPr>
          <w:sz w:val="22"/>
          <w:szCs w:val="22"/>
        </w:rPr>
        <w:t>s Travaux Publics et du Paysage</w:t>
      </w:r>
      <w:r w:rsidR="00D801AE">
        <w:rPr>
          <w:sz w:val="22"/>
          <w:szCs w:val="22"/>
        </w:rPr>
        <w:t>, en termes</w:t>
      </w:r>
      <w:r w:rsidR="005870C2">
        <w:rPr>
          <w:sz w:val="22"/>
          <w:szCs w:val="22"/>
        </w:rPr>
        <w:t> :</w:t>
      </w:r>
    </w:p>
    <w:p w:rsidR="005870C2" w:rsidRDefault="00D801AE" w:rsidP="005870C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 </w:t>
      </w:r>
      <w:r w:rsidR="005870C2">
        <w:rPr>
          <w:sz w:val="22"/>
          <w:szCs w:val="22"/>
        </w:rPr>
        <w:t xml:space="preserve">prise en compte des intérêts et </w:t>
      </w:r>
      <w:r w:rsidR="002504E0">
        <w:rPr>
          <w:sz w:val="22"/>
          <w:szCs w:val="22"/>
        </w:rPr>
        <w:t>spécificités</w:t>
      </w:r>
      <w:r w:rsidR="005870C2">
        <w:rPr>
          <w:sz w:val="22"/>
          <w:szCs w:val="22"/>
        </w:rPr>
        <w:t xml:space="preserve"> des TPE artisanales des Travaux Publics et du Paysage,</w:t>
      </w:r>
    </w:p>
    <w:p w:rsidR="005870C2" w:rsidRDefault="00D801AE" w:rsidP="005870C2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870C2">
        <w:rPr>
          <w:sz w:val="22"/>
          <w:szCs w:val="22"/>
        </w:rPr>
        <w:t xml:space="preserve">e reconnaissance </w:t>
      </w:r>
      <w:r>
        <w:rPr>
          <w:sz w:val="22"/>
          <w:szCs w:val="22"/>
        </w:rPr>
        <w:t>par le</w:t>
      </w:r>
      <w:r w:rsidR="005870C2">
        <w:rPr>
          <w:sz w:val="22"/>
          <w:szCs w:val="22"/>
        </w:rPr>
        <w:t>s pouvoirs publics</w:t>
      </w:r>
      <w:r w:rsidR="00560364">
        <w:rPr>
          <w:sz w:val="22"/>
          <w:szCs w:val="22"/>
        </w:rPr>
        <w:t xml:space="preserve"> de la CNATP.</w:t>
      </w:r>
    </w:p>
    <w:p w:rsidR="00560364" w:rsidRDefault="00560364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5411AA" w:rsidRDefault="008212BD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Nous sommes satisfaits de ces annonces. </w:t>
      </w:r>
      <w:r w:rsidR="002504E0">
        <w:rPr>
          <w:sz w:val="22"/>
          <w:szCs w:val="22"/>
        </w:rPr>
        <w:t>Bon nombre de nos revendications exprim</w:t>
      </w:r>
      <w:r w:rsidR="00CB4354">
        <w:rPr>
          <w:sz w:val="22"/>
          <w:szCs w:val="22"/>
        </w:rPr>
        <w:t>ées lors de nos actions de ces trois</w:t>
      </w:r>
      <w:r w:rsidR="002504E0">
        <w:rPr>
          <w:sz w:val="22"/>
          <w:szCs w:val="22"/>
        </w:rPr>
        <w:t xml:space="preserve"> dernières semaines ont été entendues. </w:t>
      </w:r>
      <w:r>
        <w:rPr>
          <w:sz w:val="22"/>
          <w:szCs w:val="22"/>
        </w:rPr>
        <w:t xml:space="preserve">Désormais, </w:t>
      </w:r>
      <w:r w:rsidR="002504E0">
        <w:rPr>
          <w:sz w:val="22"/>
          <w:szCs w:val="22"/>
        </w:rPr>
        <w:t xml:space="preserve">l’heure est aux responsabilités. </w:t>
      </w:r>
      <w:r w:rsidR="00E111A7">
        <w:rPr>
          <w:sz w:val="22"/>
          <w:szCs w:val="22"/>
        </w:rPr>
        <w:t>Compte-tenu des annonces et des engagements du Gouvernement, afin de ne pas perturber plus l’économie de proximité, nous appelons</w:t>
      </w:r>
      <w:r w:rsidR="006F705B">
        <w:rPr>
          <w:sz w:val="22"/>
          <w:szCs w:val="22"/>
        </w:rPr>
        <w:t xml:space="preserve"> chacun à sortir d’une situation de blocage et à entrer dans une phase de négociation.</w:t>
      </w:r>
    </w:p>
    <w:p w:rsidR="008212BD" w:rsidRDefault="008212BD" w:rsidP="00AF0CAB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</w:p>
    <w:p w:rsidR="00C77377" w:rsidRPr="004530BC" w:rsidRDefault="00C7737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sz w:val="22"/>
          <w:szCs w:val="22"/>
          <w:highlight w:val="yellow"/>
        </w:rPr>
      </w:pPr>
    </w:p>
    <w:p w:rsidR="008B6757" w:rsidRDefault="00CB6DAC" w:rsidP="00D730E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 xml:space="preserve">Pour </w:t>
      </w:r>
      <w:r w:rsidR="00E9372C"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Françoise Despret</w:t>
      </w: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, Président</w:t>
      </w:r>
      <w:r w:rsidR="00E9372C"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e</w:t>
      </w: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 xml:space="preserve"> de la </w:t>
      </w:r>
      <w:r w:rsidR="00E9372C"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>CNATP</w:t>
      </w:r>
      <w:r w:rsidRPr="004530BC">
        <w:rPr>
          <w:rFonts w:eastAsia="Times New Roman" w:hAnsi="Times New Roman" w:cs="Times New Roman"/>
          <w:color w:val="auto"/>
          <w:sz w:val="22"/>
          <w:szCs w:val="22"/>
          <w:lang w:eastAsia="fr-FR"/>
        </w:rPr>
        <w:t xml:space="preserve"> : </w:t>
      </w:r>
      <w:r w:rsidR="00662AD7" w:rsidRPr="004530BC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« </w:t>
      </w:r>
      <w:r w:rsidR="004E2493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L’annulation de la suppression du GNR </w:t>
      </w:r>
      <w:r w:rsidR="00D730E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pour un</w:t>
      </w:r>
      <w:r w:rsidR="004E2493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an e</w:t>
      </w:r>
      <w:r w:rsidR="00CB4354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st une </w:t>
      </w:r>
      <w:r w:rsidR="00686A74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victoire pour nos entreprises</w:t>
      </w:r>
      <w:r w:rsidR="004E2493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. Nous allons </w:t>
      </w:r>
      <w:r w:rsidR="00591110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avoir plus de</w:t>
      </w:r>
      <w:r w:rsidR="004E2493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</w:t>
      </w:r>
      <w:r w:rsidR="00CB4354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temps pour</w:t>
      </w:r>
      <w:r w:rsidR="004E2493" w:rsidRPr="004E2493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</w:t>
      </w:r>
      <w:r w:rsidR="004E2493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convaincre le Gouvernement et les parlementaires de la nécessité de mettre en œuvre une politique adaptée à la réalité de nos TPE artisanales</w:t>
      </w:r>
      <w:r w:rsidR="00206101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, fondée sur quelques principes essentiels : progressivité, égalité, </w:t>
      </w:r>
      <w:r w:rsidR="00D730E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simplicité.</w:t>
      </w:r>
      <w:r w:rsidR="004E2493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</w:t>
      </w:r>
      <w:r w:rsidR="00D730E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C’est</w:t>
      </w:r>
      <w:r w:rsidR="000733D6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également</w:t>
      </w:r>
      <w:r w:rsidR="00D730E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</w:t>
      </w:r>
      <w:r w:rsidR="00CB4354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une </w:t>
      </w:r>
      <w:r w:rsidR="00D730E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victoire </w:t>
      </w:r>
      <w:r w:rsidR="004E2493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pour la CNATP</w:t>
      </w:r>
      <w:r w:rsidR="00686A74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, qui</w:t>
      </w:r>
      <w:r w:rsidR="00D730E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 xml:space="preserve"> trouve la reconnaissance de son investissement au service des artisans des </w:t>
      </w:r>
      <w:r w:rsidR="00D730E8" w:rsidRPr="00D730E8"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  <w:t>Travaux Publics et du Paysage. »</w:t>
      </w:r>
    </w:p>
    <w:p w:rsidR="005A3309" w:rsidRDefault="005A3309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</w:p>
    <w:p w:rsidR="00C77377" w:rsidRPr="00C77377" w:rsidRDefault="00C77377" w:rsidP="00AF0C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Times New Roman" w:hAnsi="Times New Roman" w:cs="Times New Roman"/>
          <w:i/>
          <w:color w:val="auto"/>
          <w:sz w:val="22"/>
          <w:szCs w:val="22"/>
          <w:lang w:eastAsia="fr-FR"/>
        </w:rPr>
      </w:pPr>
    </w:p>
    <w:p w:rsidR="008D57CA" w:rsidRPr="00FB12A0" w:rsidRDefault="005613A9" w:rsidP="005613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eastAsia="Bodoni" w:hAnsi="Times New Roman" w:cs="Times New Roman"/>
          <w:bCs/>
          <w:i/>
          <w:sz w:val="22"/>
          <w:szCs w:val="22"/>
        </w:rPr>
      </w:pPr>
      <w:r>
        <w:rPr>
          <w:rFonts w:eastAsia="Bodoni" w:hAnsi="Times New Roman" w:cs="Times New Roman"/>
          <w:bCs/>
          <w:i/>
        </w:rPr>
        <w:t>***</w:t>
      </w:r>
    </w:p>
    <w:p w:rsidR="00C77377" w:rsidRDefault="00C77377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  <w:lang w:val="es-ES_tradnl"/>
        </w:rPr>
      </w:pPr>
    </w:p>
    <w:p w:rsidR="000E6D96" w:rsidRPr="00C77377" w:rsidRDefault="000E6D96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  <w:lang w:val="es-ES_tradnl"/>
        </w:rPr>
        <w:t>A propos de la CNATP</w:t>
      </w:r>
      <w:r w:rsidRPr="00C77377">
        <w:rPr>
          <w:rFonts w:eastAsia="Bodoni" w:hAnsi="Times New Roman" w:cs="Times New Roman"/>
          <w:b/>
          <w:bCs/>
          <w:i/>
          <w:iCs/>
          <w:sz w:val="18"/>
          <w:szCs w:val="18"/>
        </w:rPr>
        <w:t xml:space="preserve"> :</w:t>
      </w:r>
    </w:p>
    <w:p w:rsidR="00973621" w:rsidRDefault="003E6B54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Créée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en 1993, la Chambre nationale de l’artisanat des Travaux publics et du Paysage (CNATP)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défend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les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intérêts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et promeut les entreprises artisanales des Travaux publics et du Paysage. Ces deux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métiers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regroupent plus de 20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activités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. (</w:t>
      </w:r>
      <w:hyperlink r:id="rId10" w:history="1">
        <w:r w:rsidR="00973621" w:rsidRPr="00973621">
          <w:rPr>
            <w:rStyle w:val="Lienhypertexte"/>
            <w:rFonts w:eastAsia="Bodoni" w:hAnsi="Times New Roman" w:cs="Times New Roman"/>
            <w:i/>
            <w:iCs/>
            <w:color w:val="0070C0"/>
            <w:sz w:val="18"/>
            <w:szCs w:val="18"/>
          </w:rPr>
          <w:t>www.cnatp.org</w:t>
        </w:r>
      </w:hyperlink>
      <w:r w:rsidR="00973621">
        <w:rPr>
          <w:rFonts w:eastAsia="Bodoni" w:hAnsi="Times New Roman" w:cs="Times New Roman"/>
          <w:i/>
          <w:iCs/>
          <w:sz w:val="18"/>
          <w:szCs w:val="18"/>
        </w:rPr>
        <w:t>).</w:t>
      </w:r>
    </w:p>
    <w:p w:rsidR="000E6D96" w:rsidRPr="00C77377" w:rsidRDefault="000E6D96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</w:p>
    <w:p w:rsidR="000E6D96" w:rsidRPr="00C77377" w:rsidRDefault="000E6D96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On compte :</w:t>
      </w:r>
    </w:p>
    <w:p w:rsidR="000E6D96" w:rsidRPr="00C77377" w:rsidRDefault="000E6D96" w:rsidP="000E6D96">
      <w:pPr>
        <w:numPr>
          <w:ilvl w:val="0"/>
          <w:numId w:val="6"/>
        </w:numPr>
        <w:ind w:left="567" w:hanging="283"/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66 5</w:t>
      </w:r>
      <w:r w:rsidR="009C730D" w:rsidRPr="00C77377">
        <w:rPr>
          <w:rFonts w:eastAsia="Bodoni" w:hAnsi="Times New Roman" w:cs="Times New Roman"/>
          <w:i/>
          <w:iCs/>
          <w:sz w:val="18"/>
          <w:szCs w:val="18"/>
        </w:rPr>
        <w:t>00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 entr</w:t>
      </w:r>
      <w:r w:rsidR="00642C17" w:rsidRPr="00C77377">
        <w:rPr>
          <w:rFonts w:eastAsia="Bodoni" w:hAnsi="Times New Roman" w:cs="Times New Roman"/>
          <w:i/>
          <w:iCs/>
          <w:sz w:val="18"/>
          <w:szCs w:val="18"/>
        </w:rPr>
        <w:t>eprises de Travaux publics et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 </w:t>
      </w:r>
      <w:r w:rsidR="00642C17" w:rsidRPr="00C77377">
        <w:rPr>
          <w:rFonts w:eastAsia="Bodoni" w:hAnsi="Times New Roman" w:cs="Times New Roman"/>
          <w:i/>
          <w:iCs/>
          <w:sz w:val="18"/>
          <w:szCs w:val="18"/>
        </w:rPr>
        <w:t xml:space="preserve">de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Paysage. </w:t>
      </w:r>
      <w:r w:rsidR="00A3129A" w:rsidRPr="00C77377">
        <w:rPr>
          <w:rFonts w:eastAsia="Bodoni" w:hAnsi="Times New Roman" w:cs="Times New Roman"/>
          <w:i/>
          <w:iCs/>
          <w:sz w:val="18"/>
          <w:szCs w:val="18"/>
        </w:rPr>
        <w:t xml:space="preserve">63 700 (soit 96 %)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de ces entreprises sont artisanales (moins de 20 </w:t>
      </w:r>
      <w:r w:rsidR="003E6B54" w:rsidRPr="00C77377">
        <w:rPr>
          <w:rFonts w:eastAsia="Bodoni" w:hAnsi="Times New Roman" w:cs="Times New Roman"/>
          <w:i/>
          <w:iCs/>
          <w:sz w:val="18"/>
          <w:szCs w:val="18"/>
        </w:rPr>
        <w:t>salariés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).</w:t>
      </w:r>
    </w:p>
    <w:p w:rsidR="000E6D96" w:rsidRPr="00C77377" w:rsidRDefault="00A3129A" w:rsidP="000E6D96">
      <w:pPr>
        <w:numPr>
          <w:ilvl w:val="0"/>
          <w:numId w:val="6"/>
        </w:numPr>
        <w:ind w:left="567" w:hanging="283"/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35 25</w:t>
      </w:r>
      <w:r w:rsidR="00642C17" w:rsidRPr="00C77377">
        <w:rPr>
          <w:rFonts w:eastAsia="Bodoni" w:hAnsi="Times New Roman" w:cs="Times New Roman"/>
          <w:i/>
          <w:iCs/>
          <w:sz w:val="18"/>
          <w:szCs w:val="18"/>
        </w:rPr>
        <w:t xml:space="preserve">0 entreprises de 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Travaux publics, soit 94 % du secteur,</w:t>
      </w:r>
    </w:p>
    <w:p w:rsidR="000E6D96" w:rsidRPr="00C77377" w:rsidRDefault="00642C17" w:rsidP="000E6D96">
      <w:pPr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67" w:hanging="283"/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28 450 entreprises du paysage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, soit 98 % du secteur.</w:t>
      </w:r>
    </w:p>
    <w:p w:rsidR="000E6D96" w:rsidRPr="00C77377" w:rsidRDefault="000E6D96" w:rsidP="000E6D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808282"/>
          <w:sz w:val="18"/>
          <w:szCs w:val="18"/>
        </w:rPr>
      </w:pPr>
    </w:p>
    <w:p w:rsidR="000E6D96" w:rsidRPr="00C77377" w:rsidRDefault="00E02895" w:rsidP="000E6D9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eastAsia="Bodoni" w:hAnsi="Times New Roman" w:cs="Times New Roman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>L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es entreprises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 xml:space="preserve"> artisanales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de Travaux publics 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>(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de moins de 20 salariés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>)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emploient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 xml:space="preserve"> 56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> 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500</w:t>
      </w: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 salariés. L</w:t>
      </w:r>
      <w:r w:rsidR="000E6D96" w:rsidRPr="00C77377">
        <w:rPr>
          <w:rFonts w:eastAsia="Bodoni" w:hAnsi="Times New Roman" w:cs="Times New Roman"/>
          <w:i/>
          <w:iCs/>
          <w:sz w:val="18"/>
          <w:szCs w:val="18"/>
        </w:rPr>
        <w:t>es entreprises artisanales paysagistes emploient 40 800 salariés, soit 62 % du secteur.</w:t>
      </w:r>
    </w:p>
    <w:p w:rsidR="00427A1A" w:rsidRPr="00C77377" w:rsidRDefault="00427A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sz w:val="18"/>
          <w:szCs w:val="18"/>
        </w:rPr>
      </w:pPr>
    </w:p>
    <w:p w:rsidR="0036362D" w:rsidRPr="00C77377" w:rsidRDefault="003636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</w:rPr>
      </w:pPr>
      <w:r w:rsidRPr="00C77377">
        <w:rPr>
          <w:rFonts w:eastAsia="Bodoni" w:hAnsi="Times New Roman" w:cs="Times New Roman"/>
          <w:b/>
          <w:bCs/>
          <w:i/>
          <w:iCs/>
          <w:sz w:val="18"/>
          <w:szCs w:val="18"/>
          <w:u w:val="single"/>
        </w:rPr>
        <w:t>Contacts presse :</w:t>
      </w:r>
    </w:p>
    <w:p w:rsidR="002E1634" w:rsidRPr="00C77377" w:rsidRDefault="00E159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doni" w:eastAsia="Bodoni" w:hAnsi="Bodoni" w:cs="Bodoni"/>
          <w:i/>
          <w:iCs/>
          <w:sz w:val="18"/>
          <w:szCs w:val="18"/>
        </w:rPr>
      </w:pPr>
      <w:r w:rsidRPr="00C77377">
        <w:rPr>
          <w:rFonts w:eastAsia="Bodoni" w:hAnsi="Times New Roman" w:cs="Times New Roman"/>
          <w:i/>
          <w:iCs/>
          <w:sz w:val="18"/>
          <w:szCs w:val="18"/>
        </w:rPr>
        <w:t xml:space="preserve">Pierre </w:t>
      </w:r>
      <w:r w:rsidR="007C2FA5" w:rsidRPr="00C77377">
        <w:rPr>
          <w:rFonts w:eastAsia="Bodoni" w:hAnsi="Times New Roman" w:cs="Times New Roman"/>
          <w:i/>
          <w:iCs/>
          <w:sz w:val="18"/>
          <w:szCs w:val="18"/>
        </w:rPr>
        <w:t xml:space="preserve">Boutaud – Tél : 01.53.60.51.75 et 06.34.99.20.01 - </w:t>
      </w:r>
      <w:hyperlink r:id="rId11" w:history="1">
        <w:r w:rsidR="007C2FA5" w:rsidRPr="00C77377">
          <w:rPr>
            <w:rStyle w:val="Lienhypertexte"/>
            <w:rFonts w:eastAsia="Bodoni" w:hAnsi="Times New Roman" w:cs="Times New Roman"/>
            <w:i/>
            <w:iCs/>
            <w:color w:val="0070C0"/>
            <w:sz w:val="18"/>
            <w:szCs w:val="18"/>
          </w:rPr>
          <w:t>p.boutaud@cnatp.org</w:t>
        </w:r>
      </w:hyperlink>
    </w:p>
    <w:sectPr w:rsidR="002E1634" w:rsidRPr="00C77377">
      <w:pgSz w:w="11900" w:h="16840"/>
      <w:pgMar w:top="624" w:right="992" w:bottom="567" w:left="720" w:header="709" w:footer="10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330" w:rsidRDefault="00A00330">
      <w:r>
        <w:separator/>
      </w:r>
    </w:p>
  </w:endnote>
  <w:endnote w:type="continuationSeparator" w:id="0">
    <w:p w:rsidR="00A00330" w:rsidRDefault="00A0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330" w:rsidRDefault="00A00330">
      <w:r>
        <w:separator/>
      </w:r>
    </w:p>
  </w:footnote>
  <w:footnote w:type="continuationSeparator" w:id="0">
    <w:p w:rsidR="00A00330" w:rsidRDefault="00A0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.8pt;height:19.2pt" o:bullet="t">
        <v:imagedata r:id="rId1" o:title="3 couleurs"/>
      </v:shape>
    </w:pict>
  </w:numPicBullet>
  <w:abstractNum w:abstractNumId="0" w15:restartNumberingAfterBreak="0">
    <w:nsid w:val="00000001"/>
    <w:multiLevelType w:val="multilevel"/>
    <w:tmpl w:val="894EE87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0657D7"/>
    <w:multiLevelType w:val="hybridMultilevel"/>
    <w:tmpl w:val="2C320960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C5DA1"/>
    <w:multiLevelType w:val="hybridMultilevel"/>
    <w:tmpl w:val="7DD85FFE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2151D"/>
    <w:multiLevelType w:val="hybridMultilevel"/>
    <w:tmpl w:val="7A28E7F0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33D14"/>
    <w:multiLevelType w:val="multilevel"/>
    <w:tmpl w:val="894EE872"/>
    <w:lvl w:ilvl="0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1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2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3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4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5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6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7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  <w:lvl w:ilvl="8">
      <w:start w:val="1"/>
      <w:numFmt w:val="bullet"/>
      <w:lvlText w:val="-"/>
      <w:lvlJc w:val="left"/>
      <w:rPr>
        <w:rFonts w:ascii="Bodoni" w:eastAsia="Bodoni" w:hAnsi="Bodoni" w:cs="Bodoni" w:hint="default"/>
        <w:position w:val="4"/>
      </w:rPr>
    </w:lvl>
  </w:abstractNum>
  <w:abstractNum w:abstractNumId="8" w15:restartNumberingAfterBreak="0">
    <w:nsid w:val="20675893"/>
    <w:multiLevelType w:val="hybridMultilevel"/>
    <w:tmpl w:val="515C8B92"/>
    <w:lvl w:ilvl="0" w:tplc="0C22E5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448AE"/>
    <w:multiLevelType w:val="hybridMultilevel"/>
    <w:tmpl w:val="E8F6A27A"/>
    <w:lvl w:ilvl="0" w:tplc="A99C2F5A">
      <w:start w:val="1"/>
      <w:numFmt w:val="lowerLetter"/>
      <w:lvlText w:val="%1-"/>
      <w:lvlJc w:val="left"/>
      <w:pPr>
        <w:ind w:left="1776" w:hanging="360"/>
      </w:pPr>
    </w:lvl>
    <w:lvl w:ilvl="1" w:tplc="040C0019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>
      <w:start w:val="1"/>
      <w:numFmt w:val="decimal"/>
      <w:lvlText w:val="%4."/>
      <w:lvlJc w:val="left"/>
      <w:pPr>
        <w:ind w:left="3936" w:hanging="360"/>
      </w:pPr>
    </w:lvl>
    <w:lvl w:ilvl="4" w:tplc="040C0019">
      <w:start w:val="1"/>
      <w:numFmt w:val="lowerLetter"/>
      <w:lvlText w:val="%5."/>
      <w:lvlJc w:val="left"/>
      <w:pPr>
        <w:ind w:left="4656" w:hanging="360"/>
      </w:pPr>
    </w:lvl>
    <w:lvl w:ilvl="5" w:tplc="040C001B">
      <w:start w:val="1"/>
      <w:numFmt w:val="lowerRoman"/>
      <w:lvlText w:val="%6."/>
      <w:lvlJc w:val="right"/>
      <w:pPr>
        <w:ind w:left="5376" w:hanging="180"/>
      </w:pPr>
    </w:lvl>
    <w:lvl w:ilvl="6" w:tplc="040C000F">
      <w:start w:val="1"/>
      <w:numFmt w:val="decimal"/>
      <w:lvlText w:val="%7."/>
      <w:lvlJc w:val="left"/>
      <w:pPr>
        <w:ind w:left="6096" w:hanging="360"/>
      </w:pPr>
    </w:lvl>
    <w:lvl w:ilvl="7" w:tplc="040C0019">
      <w:start w:val="1"/>
      <w:numFmt w:val="lowerLetter"/>
      <w:lvlText w:val="%8."/>
      <w:lvlJc w:val="left"/>
      <w:pPr>
        <w:ind w:left="6816" w:hanging="360"/>
      </w:pPr>
    </w:lvl>
    <w:lvl w:ilvl="8" w:tplc="040C001B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0805A94"/>
    <w:multiLevelType w:val="hybridMultilevel"/>
    <w:tmpl w:val="69066CA0"/>
    <w:lvl w:ilvl="0" w:tplc="B1A6C9C8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46C68"/>
    <w:multiLevelType w:val="hybridMultilevel"/>
    <w:tmpl w:val="868AE4BE"/>
    <w:lvl w:ilvl="0" w:tplc="D3842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01A3B"/>
    <w:multiLevelType w:val="hybridMultilevel"/>
    <w:tmpl w:val="EEA6FD66"/>
    <w:lvl w:ilvl="0" w:tplc="36884D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E1E79"/>
    <w:multiLevelType w:val="hybridMultilevel"/>
    <w:tmpl w:val="571ADB08"/>
    <w:lvl w:ilvl="0" w:tplc="C6CAA81A">
      <w:start w:val="3"/>
      <w:numFmt w:val="bullet"/>
      <w:lvlText w:val="-"/>
      <w:lvlJc w:val="left"/>
      <w:pPr>
        <w:ind w:left="720" w:hanging="360"/>
      </w:pPr>
      <w:rPr>
        <w:rFonts w:ascii="Bodoni" w:eastAsia="Bodoni" w:hAnsi="Bodoni" w:cs="Bodon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D6B56"/>
    <w:multiLevelType w:val="hybridMultilevel"/>
    <w:tmpl w:val="AE30E666"/>
    <w:lvl w:ilvl="0" w:tplc="1E366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E532C"/>
    <w:multiLevelType w:val="hybridMultilevel"/>
    <w:tmpl w:val="9A1CBD0A"/>
    <w:lvl w:ilvl="0" w:tplc="F5D22D7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E40E0"/>
    <w:multiLevelType w:val="hybridMultilevel"/>
    <w:tmpl w:val="943E7C80"/>
    <w:lvl w:ilvl="0" w:tplc="CBE214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2"/>
  </w:num>
  <w:num w:numId="9">
    <w:abstractNumId w:val="4"/>
  </w:num>
  <w:num w:numId="10">
    <w:abstractNumId w:val="13"/>
  </w:num>
  <w:num w:numId="11">
    <w:abstractNumId w:val="8"/>
  </w:num>
  <w:num w:numId="12">
    <w:abstractNumId w:val="1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70"/>
    <w:rsid w:val="00017D01"/>
    <w:rsid w:val="00022B71"/>
    <w:rsid w:val="00024323"/>
    <w:rsid w:val="00037127"/>
    <w:rsid w:val="000378FD"/>
    <w:rsid w:val="00042BDA"/>
    <w:rsid w:val="00051973"/>
    <w:rsid w:val="0005227B"/>
    <w:rsid w:val="0005311C"/>
    <w:rsid w:val="00053BDE"/>
    <w:rsid w:val="00057978"/>
    <w:rsid w:val="000707EA"/>
    <w:rsid w:val="00072051"/>
    <w:rsid w:val="0007271D"/>
    <w:rsid w:val="000733D6"/>
    <w:rsid w:val="00077681"/>
    <w:rsid w:val="00091742"/>
    <w:rsid w:val="0009178F"/>
    <w:rsid w:val="000929A2"/>
    <w:rsid w:val="00095681"/>
    <w:rsid w:val="0009638E"/>
    <w:rsid w:val="000A4D94"/>
    <w:rsid w:val="000B5140"/>
    <w:rsid w:val="000D6D53"/>
    <w:rsid w:val="000E6D96"/>
    <w:rsid w:val="000F4223"/>
    <w:rsid w:val="000F562A"/>
    <w:rsid w:val="000F7619"/>
    <w:rsid w:val="001056A0"/>
    <w:rsid w:val="0011308A"/>
    <w:rsid w:val="001222F5"/>
    <w:rsid w:val="001262C5"/>
    <w:rsid w:val="00146F29"/>
    <w:rsid w:val="001559A1"/>
    <w:rsid w:val="00163FB4"/>
    <w:rsid w:val="00170D95"/>
    <w:rsid w:val="00170ED2"/>
    <w:rsid w:val="001749E6"/>
    <w:rsid w:val="0018094A"/>
    <w:rsid w:val="001935F2"/>
    <w:rsid w:val="001979D7"/>
    <w:rsid w:val="00197F82"/>
    <w:rsid w:val="001A33CB"/>
    <w:rsid w:val="001A71C6"/>
    <w:rsid w:val="001B4EF7"/>
    <w:rsid w:val="001E2F13"/>
    <w:rsid w:val="001E398D"/>
    <w:rsid w:val="001F06C2"/>
    <w:rsid w:val="00200AB1"/>
    <w:rsid w:val="00206101"/>
    <w:rsid w:val="00210BC5"/>
    <w:rsid w:val="00220567"/>
    <w:rsid w:val="002504E0"/>
    <w:rsid w:val="0026498E"/>
    <w:rsid w:val="002742B1"/>
    <w:rsid w:val="00285FD5"/>
    <w:rsid w:val="00293A38"/>
    <w:rsid w:val="002D1BF8"/>
    <w:rsid w:val="002E1634"/>
    <w:rsid w:val="002E2FF4"/>
    <w:rsid w:val="002F622B"/>
    <w:rsid w:val="002F70CA"/>
    <w:rsid w:val="00310BF2"/>
    <w:rsid w:val="00317FCF"/>
    <w:rsid w:val="00321544"/>
    <w:rsid w:val="00323610"/>
    <w:rsid w:val="0034163B"/>
    <w:rsid w:val="00342B00"/>
    <w:rsid w:val="003470CF"/>
    <w:rsid w:val="00353294"/>
    <w:rsid w:val="00357854"/>
    <w:rsid w:val="00360C9F"/>
    <w:rsid w:val="0036362D"/>
    <w:rsid w:val="00376DCA"/>
    <w:rsid w:val="003A1BAA"/>
    <w:rsid w:val="003A5897"/>
    <w:rsid w:val="003B482C"/>
    <w:rsid w:val="003C383A"/>
    <w:rsid w:val="003C6A3A"/>
    <w:rsid w:val="003D6D19"/>
    <w:rsid w:val="003E2C32"/>
    <w:rsid w:val="003E6B54"/>
    <w:rsid w:val="003F5512"/>
    <w:rsid w:val="00401F4D"/>
    <w:rsid w:val="00403C28"/>
    <w:rsid w:val="00414238"/>
    <w:rsid w:val="00414416"/>
    <w:rsid w:val="00427A1A"/>
    <w:rsid w:val="00434F92"/>
    <w:rsid w:val="004530BC"/>
    <w:rsid w:val="004568DA"/>
    <w:rsid w:val="00460135"/>
    <w:rsid w:val="004620C3"/>
    <w:rsid w:val="00464166"/>
    <w:rsid w:val="00465247"/>
    <w:rsid w:val="00465EFC"/>
    <w:rsid w:val="00471620"/>
    <w:rsid w:val="00483BC3"/>
    <w:rsid w:val="00485E10"/>
    <w:rsid w:val="004A76DB"/>
    <w:rsid w:val="004C4A01"/>
    <w:rsid w:val="004C6A79"/>
    <w:rsid w:val="004D3EF0"/>
    <w:rsid w:val="004E2493"/>
    <w:rsid w:val="004E6F7F"/>
    <w:rsid w:val="004F154C"/>
    <w:rsid w:val="004F4F5A"/>
    <w:rsid w:val="004F6816"/>
    <w:rsid w:val="00516ECF"/>
    <w:rsid w:val="00517416"/>
    <w:rsid w:val="005411AA"/>
    <w:rsid w:val="0054166D"/>
    <w:rsid w:val="00544FB9"/>
    <w:rsid w:val="00550BCD"/>
    <w:rsid w:val="005547E5"/>
    <w:rsid w:val="00560364"/>
    <w:rsid w:val="005613A9"/>
    <w:rsid w:val="00573035"/>
    <w:rsid w:val="005833A6"/>
    <w:rsid w:val="005870C2"/>
    <w:rsid w:val="00591110"/>
    <w:rsid w:val="0059733B"/>
    <w:rsid w:val="005A006A"/>
    <w:rsid w:val="005A26E6"/>
    <w:rsid w:val="005A3309"/>
    <w:rsid w:val="005B357A"/>
    <w:rsid w:val="005B5FEA"/>
    <w:rsid w:val="005C3AA4"/>
    <w:rsid w:val="005D203A"/>
    <w:rsid w:val="005D668F"/>
    <w:rsid w:val="005D7F78"/>
    <w:rsid w:val="006013FA"/>
    <w:rsid w:val="0060609D"/>
    <w:rsid w:val="006132EC"/>
    <w:rsid w:val="0061696B"/>
    <w:rsid w:val="006248DE"/>
    <w:rsid w:val="00640C19"/>
    <w:rsid w:val="00642C17"/>
    <w:rsid w:val="006452CF"/>
    <w:rsid w:val="00662AD7"/>
    <w:rsid w:val="00665A5C"/>
    <w:rsid w:val="00673D97"/>
    <w:rsid w:val="00683846"/>
    <w:rsid w:val="00686024"/>
    <w:rsid w:val="00686A74"/>
    <w:rsid w:val="00690C97"/>
    <w:rsid w:val="00692170"/>
    <w:rsid w:val="006B2882"/>
    <w:rsid w:val="006C0B1D"/>
    <w:rsid w:val="006C5D08"/>
    <w:rsid w:val="006D798C"/>
    <w:rsid w:val="006E2530"/>
    <w:rsid w:val="006E5F05"/>
    <w:rsid w:val="006E64B9"/>
    <w:rsid w:val="006E6D48"/>
    <w:rsid w:val="006E6F87"/>
    <w:rsid w:val="006F28F2"/>
    <w:rsid w:val="006F337A"/>
    <w:rsid w:val="006F6C07"/>
    <w:rsid w:val="006F705B"/>
    <w:rsid w:val="00736491"/>
    <w:rsid w:val="00743D31"/>
    <w:rsid w:val="0075544A"/>
    <w:rsid w:val="00765960"/>
    <w:rsid w:val="00772E40"/>
    <w:rsid w:val="00775C17"/>
    <w:rsid w:val="00792E27"/>
    <w:rsid w:val="007A050E"/>
    <w:rsid w:val="007C0D7E"/>
    <w:rsid w:val="007C2FA5"/>
    <w:rsid w:val="007C539C"/>
    <w:rsid w:val="007E7AC5"/>
    <w:rsid w:val="007F6D38"/>
    <w:rsid w:val="008212BD"/>
    <w:rsid w:val="00824F12"/>
    <w:rsid w:val="00830992"/>
    <w:rsid w:val="00830A77"/>
    <w:rsid w:val="00841374"/>
    <w:rsid w:val="00850983"/>
    <w:rsid w:val="008532E9"/>
    <w:rsid w:val="008742A4"/>
    <w:rsid w:val="00875980"/>
    <w:rsid w:val="00884B91"/>
    <w:rsid w:val="00886A67"/>
    <w:rsid w:val="0089658A"/>
    <w:rsid w:val="00896B1F"/>
    <w:rsid w:val="008A4AB9"/>
    <w:rsid w:val="008B251A"/>
    <w:rsid w:val="008B6757"/>
    <w:rsid w:val="008B6FF1"/>
    <w:rsid w:val="008D3E71"/>
    <w:rsid w:val="008D57CA"/>
    <w:rsid w:val="008E2033"/>
    <w:rsid w:val="008F1C02"/>
    <w:rsid w:val="008F1D5D"/>
    <w:rsid w:val="00910D96"/>
    <w:rsid w:val="00916EB4"/>
    <w:rsid w:val="00921B07"/>
    <w:rsid w:val="00925B70"/>
    <w:rsid w:val="009402C9"/>
    <w:rsid w:val="0094198F"/>
    <w:rsid w:val="00955FE7"/>
    <w:rsid w:val="00960790"/>
    <w:rsid w:val="00965165"/>
    <w:rsid w:val="00973621"/>
    <w:rsid w:val="00980C61"/>
    <w:rsid w:val="00986E12"/>
    <w:rsid w:val="009A0052"/>
    <w:rsid w:val="009B032D"/>
    <w:rsid w:val="009B3E28"/>
    <w:rsid w:val="009B56ED"/>
    <w:rsid w:val="009B6FFA"/>
    <w:rsid w:val="009B7D04"/>
    <w:rsid w:val="009C3F5B"/>
    <w:rsid w:val="009C730D"/>
    <w:rsid w:val="009D07A7"/>
    <w:rsid w:val="009D4C8D"/>
    <w:rsid w:val="009D4D75"/>
    <w:rsid w:val="009E1CB3"/>
    <w:rsid w:val="009F4579"/>
    <w:rsid w:val="00A00330"/>
    <w:rsid w:val="00A01123"/>
    <w:rsid w:val="00A0249D"/>
    <w:rsid w:val="00A3129A"/>
    <w:rsid w:val="00A5184E"/>
    <w:rsid w:val="00A66036"/>
    <w:rsid w:val="00A722B3"/>
    <w:rsid w:val="00A85C86"/>
    <w:rsid w:val="00AA1DC7"/>
    <w:rsid w:val="00AA553F"/>
    <w:rsid w:val="00AA641C"/>
    <w:rsid w:val="00AB1E88"/>
    <w:rsid w:val="00AC5411"/>
    <w:rsid w:val="00AC74EC"/>
    <w:rsid w:val="00AD3079"/>
    <w:rsid w:val="00AE1BC8"/>
    <w:rsid w:val="00AE46C9"/>
    <w:rsid w:val="00AF0515"/>
    <w:rsid w:val="00AF0CAB"/>
    <w:rsid w:val="00AF0FD1"/>
    <w:rsid w:val="00B06781"/>
    <w:rsid w:val="00B07EAF"/>
    <w:rsid w:val="00B11411"/>
    <w:rsid w:val="00B14AC8"/>
    <w:rsid w:val="00B17B54"/>
    <w:rsid w:val="00B26AE5"/>
    <w:rsid w:val="00B32B8C"/>
    <w:rsid w:val="00B46F03"/>
    <w:rsid w:val="00B71683"/>
    <w:rsid w:val="00B834D8"/>
    <w:rsid w:val="00B84400"/>
    <w:rsid w:val="00B967FF"/>
    <w:rsid w:val="00BA0706"/>
    <w:rsid w:val="00BA0EB4"/>
    <w:rsid w:val="00BA1814"/>
    <w:rsid w:val="00BA6E8C"/>
    <w:rsid w:val="00BB565A"/>
    <w:rsid w:val="00BC5EFE"/>
    <w:rsid w:val="00BC634F"/>
    <w:rsid w:val="00BC6A9B"/>
    <w:rsid w:val="00BF74CA"/>
    <w:rsid w:val="00C06A57"/>
    <w:rsid w:val="00C52C42"/>
    <w:rsid w:val="00C53E42"/>
    <w:rsid w:val="00C55430"/>
    <w:rsid w:val="00C77377"/>
    <w:rsid w:val="00C94324"/>
    <w:rsid w:val="00C94F31"/>
    <w:rsid w:val="00CA5A95"/>
    <w:rsid w:val="00CB4354"/>
    <w:rsid w:val="00CB6DAC"/>
    <w:rsid w:val="00CD2013"/>
    <w:rsid w:val="00CF4FD7"/>
    <w:rsid w:val="00CF52BD"/>
    <w:rsid w:val="00D067DD"/>
    <w:rsid w:val="00D068CF"/>
    <w:rsid w:val="00D14266"/>
    <w:rsid w:val="00D20AFB"/>
    <w:rsid w:val="00D61512"/>
    <w:rsid w:val="00D71EB0"/>
    <w:rsid w:val="00D730E8"/>
    <w:rsid w:val="00D801AE"/>
    <w:rsid w:val="00D82C9C"/>
    <w:rsid w:val="00D833C2"/>
    <w:rsid w:val="00D9177A"/>
    <w:rsid w:val="00D94B02"/>
    <w:rsid w:val="00DA32AC"/>
    <w:rsid w:val="00DA555B"/>
    <w:rsid w:val="00DB0D9A"/>
    <w:rsid w:val="00DB397D"/>
    <w:rsid w:val="00DB64BB"/>
    <w:rsid w:val="00DC013D"/>
    <w:rsid w:val="00DD62B0"/>
    <w:rsid w:val="00DE434A"/>
    <w:rsid w:val="00E02895"/>
    <w:rsid w:val="00E11071"/>
    <w:rsid w:val="00E111A7"/>
    <w:rsid w:val="00E11447"/>
    <w:rsid w:val="00E159D7"/>
    <w:rsid w:val="00E21026"/>
    <w:rsid w:val="00E2270B"/>
    <w:rsid w:val="00E238E1"/>
    <w:rsid w:val="00E512F1"/>
    <w:rsid w:val="00E61F34"/>
    <w:rsid w:val="00E636A2"/>
    <w:rsid w:val="00E706C1"/>
    <w:rsid w:val="00E73CA8"/>
    <w:rsid w:val="00E75D86"/>
    <w:rsid w:val="00E83829"/>
    <w:rsid w:val="00E83F6F"/>
    <w:rsid w:val="00E9372C"/>
    <w:rsid w:val="00EA1BDB"/>
    <w:rsid w:val="00EA25D5"/>
    <w:rsid w:val="00EA50DE"/>
    <w:rsid w:val="00EC3BB1"/>
    <w:rsid w:val="00EC494F"/>
    <w:rsid w:val="00EC5596"/>
    <w:rsid w:val="00EF2B14"/>
    <w:rsid w:val="00EF2B99"/>
    <w:rsid w:val="00EF5D1F"/>
    <w:rsid w:val="00F1231C"/>
    <w:rsid w:val="00F4754B"/>
    <w:rsid w:val="00F47E2A"/>
    <w:rsid w:val="00F54862"/>
    <w:rsid w:val="00F57E8E"/>
    <w:rsid w:val="00F709F1"/>
    <w:rsid w:val="00F70CA2"/>
    <w:rsid w:val="00F7786E"/>
    <w:rsid w:val="00F81A0F"/>
    <w:rsid w:val="00F85EE6"/>
    <w:rsid w:val="00F93F07"/>
    <w:rsid w:val="00FA288F"/>
    <w:rsid w:val="00FB12A0"/>
    <w:rsid w:val="00FB4902"/>
    <w:rsid w:val="00FB5B0B"/>
    <w:rsid w:val="00FC392E"/>
    <w:rsid w:val="00FD5AE5"/>
    <w:rsid w:val="00FE28D9"/>
    <w:rsid w:val="00FE5B0D"/>
    <w:rsid w:val="00FE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672F870-ECE6-4CA4-B762-EDE7C8587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Titre2">
    <w:name w:val="heading 2"/>
    <w:basedOn w:val="Normal"/>
    <w:link w:val="Titre2Car"/>
    <w:uiPriority w:val="9"/>
    <w:qFormat/>
    <w:locked/>
    <w:rsid w:val="000E6D96"/>
    <w:pPr>
      <w:spacing w:before="100" w:beforeAutospacing="1" w:after="100" w:afterAutospacing="1"/>
      <w:outlineLvl w:val="1"/>
    </w:pPr>
    <w:rPr>
      <w:rFonts w:eastAsia="Times New Roman" w:hAnsi="Times New Roman" w:cs="Times New Roman"/>
      <w:b/>
      <w:bCs/>
      <w:color w:val="auto"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numbering" w:customStyle="1" w:styleId="Tiret">
    <w:name w:val="Tiret"/>
  </w:style>
  <w:style w:type="paragraph" w:customStyle="1" w:styleId="Pardfaut">
    <w:name w:val="Par défaut"/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En-tte">
    <w:name w:val="header"/>
    <w:basedOn w:val="Normal"/>
    <w:link w:val="En-tteCar"/>
    <w:locked/>
    <w:rsid w:val="0068602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86024"/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styleId="Pieddepage">
    <w:name w:val="footer"/>
    <w:basedOn w:val="Normal"/>
    <w:link w:val="PieddepageCar"/>
    <w:locked/>
    <w:rsid w:val="006860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86024"/>
    <w:rPr>
      <w:rFonts w:eastAsia="Arial Unicode MS" w:hAnsi="Arial Unicode MS" w:cs="Arial Unicode MS"/>
      <w:color w:val="000000"/>
      <w:sz w:val="24"/>
      <w:szCs w:val="24"/>
      <w:u w:color="000000"/>
      <w:lang w:eastAsia="en-US"/>
    </w:rPr>
  </w:style>
  <w:style w:type="paragraph" w:customStyle="1" w:styleId="STitre">
    <w:name w:val="S_Titre"/>
    <w:basedOn w:val="Normal"/>
    <w:rsid w:val="00EF2B14"/>
    <w:pPr>
      <w:spacing w:after="480" w:line="440" w:lineRule="atLeast"/>
    </w:pPr>
    <w:rPr>
      <w:rFonts w:ascii="Calibri" w:eastAsia="Calibri" w:hAnsi="Calibri" w:cs="Times New Roman"/>
      <w:b/>
      <w:bCs/>
      <w:color w:val="1F497D"/>
      <w:sz w:val="38"/>
      <w:szCs w:val="38"/>
    </w:rPr>
  </w:style>
  <w:style w:type="paragraph" w:styleId="NormalWeb">
    <w:name w:val="Normal (Web)"/>
    <w:basedOn w:val="Normal"/>
    <w:uiPriority w:val="99"/>
    <w:unhideWhenUsed/>
    <w:locked/>
    <w:rsid w:val="0007271D"/>
    <w:pPr>
      <w:spacing w:before="100" w:beforeAutospacing="1" w:after="100" w:afterAutospacing="1"/>
    </w:pPr>
    <w:rPr>
      <w:rFonts w:eastAsia="Times New Roman" w:hAnsi="Times New Roman" w:cs="Times New Roman"/>
      <w:color w:val="auto"/>
      <w:lang w:eastAsia="fr-FR"/>
    </w:rPr>
  </w:style>
  <w:style w:type="character" w:customStyle="1" w:styleId="apple-converted-space">
    <w:name w:val="apple-converted-space"/>
    <w:rsid w:val="0007271D"/>
  </w:style>
  <w:style w:type="character" w:styleId="lev">
    <w:name w:val="Strong"/>
    <w:uiPriority w:val="22"/>
    <w:qFormat/>
    <w:locked/>
    <w:rsid w:val="0007271D"/>
    <w:rPr>
      <w:b/>
      <w:bCs/>
    </w:rPr>
  </w:style>
  <w:style w:type="paragraph" w:customStyle="1" w:styleId="Default">
    <w:name w:val="Default"/>
    <w:rsid w:val="00941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locked/>
    <w:rsid w:val="007659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65960"/>
    <w:rPr>
      <w:rFonts w:ascii="Segoe UI" w:eastAsia="Arial Unicode MS" w:hAnsi="Segoe UI" w:cs="Segoe UI"/>
      <w:color w:val="000000"/>
      <w:sz w:val="18"/>
      <w:szCs w:val="18"/>
      <w:u w:color="000000"/>
      <w:lang w:eastAsia="en-US"/>
    </w:rPr>
  </w:style>
  <w:style w:type="character" w:styleId="Accentuation">
    <w:name w:val="Emphasis"/>
    <w:uiPriority w:val="20"/>
    <w:qFormat/>
    <w:locked/>
    <w:rsid w:val="0011308A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0E6D96"/>
    <w:rPr>
      <w:b/>
      <w:bCs/>
      <w:sz w:val="36"/>
      <w:szCs w:val="36"/>
    </w:rPr>
  </w:style>
  <w:style w:type="character" w:styleId="Lienhypertextesuivivisit">
    <w:name w:val="FollowedHyperlink"/>
    <w:basedOn w:val="Policepardfaut"/>
    <w:locked/>
    <w:rsid w:val="006F6C0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A0052"/>
    <w:pPr>
      <w:ind w:left="720"/>
    </w:pPr>
    <w:rPr>
      <w:rFonts w:ascii="Calibri" w:eastAsiaTheme="minorHAnsi" w:hAnsi="Calibri" w:cs="Times New Roman"/>
      <w:color w:val="auto"/>
      <w:sz w:val="22"/>
      <w:szCs w:val="22"/>
    </w:rPr>
  </w:style>
  <w:style w:type="table" w:styleId="Grilledutableau">
    <w:name w:val="Table Grid"/>
    <w:basedOn w:val="TableauNormal"/>
    <w:locked/>
    <w:rsid w:val="0046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5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21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0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6590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43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9173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52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.boutaud@cnatp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natp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Links>
    <vt:vector size="6" baseType="variant">
      <vt:variant>
        <vt:i4>7995404</vt:i4>
      </vt:variant>
      <vt:variant>
        <vt:i4>0</vt:i4>
      </vt:variant>
      <vt:variant>
        <vt:i4>0</vt:i4>
      </vt:variant>
      <vt:variant>
        <vt:i4>5</vt:i4>
      </vt:variant>
      <vt:variant>
        <vt:lpwstr>mailto:p.boutaud@cnatp.org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BENOIST</dc:creator>
  <cp:keywords/>
  <cp:lastModifiedBy>Pierre BOUTAUD</cp:lastModifiedBy>
  <cp:revision>11</cp:revision>
  <cp:lastPrinted>2018-12-06T14:39:00Z</cp:lastPrinted>
  <dcterms:created xsi:type="dcterms:W3CDTF">2018-12-06T14:21:00Z</dcterms:created>
  <dcterms:modified xsi:type="dcterms:W3CDTF">2018-12-06T15:37:00Z</dcterms:modified>
</cp:coreProperties>
</file>